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4502178" w:rsidR="00D6147A" w:rsidRDefault="002C2D5F" w:rsidP="002C2D5F">
      <w:hyperlink r:id="rId6" w:history="1">
        <w:r w:rsidRPr="002E4B62">
          <w:rPr>
            <w:rStyle w:val="Collegamentoipertestuale"/>
          </w:rPr>
          <w:t>https://www.ladige.it/attualita/2025/02/15/panetta-esito-fusioni-bancarie-lo-decide-mercato-e-azionisti-1.3998623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2D5F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48F0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22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1C3C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31D"/>
    <w:rsid w:val="007E6A60"/>
    <w:rsid w:val="007F1F13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4138"/>
    <w:rsid w:val="008678BA"/>
    <w:rsid w:val="008708BD"/>
    <w:rsid w:val="00871A2C"/>
    <w:rsid w:val="00872D57"/>
    <w:rsid w:val="00873F93"/>
    <w:rsid w:val="0087469F"/>
    <w:rsid w:val="00877304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453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dige.it/attualita/2025/02/15/panetta-esito-fusioni-bancarie-lo-decide-mercato-e-azionisti-1.39986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2025-02-19T16:09:00Z</dcterms:created>
  <dcterms:modified xsi:type="dcterms:W3CDTF">2025-02-19T16:09:00Z</dcterms:modified>
</cp:coreProperties>
</file>